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504" w:rsidRPr="002F0D94" w:rsidRDefault="002F0D94">
      <w:pPr>
        <w:rPr>
          <w:b/>
          <w:u w:val="single"/>
        </w:rPr>
      </w:pPr>
      <w:bookmarkStart w:id="0" w:name="_GoBack"/>
      <w:r w:rsidRPr="002F0D94">
        <w:rPr>
          <w:b/>
          <w:u w:val="single"/>
        </w:rPr>
        <w:t>Análisis alternativas Convenio CORANTIOQUIA  Caldas</w:t>
      </w:r>
    </w:p>
    <w:bookmarkEnd w:id="0"/>
    <w:p w:rsidR="002F0D94" w:rsidRDefault="002F0D94"/>
    <w:p w:rsidR="002F0D94" w:rsidRDefault="002F0D94" w:rsidP="002F0D94">
      <w:pPr>
        <w:pStyle w:val="NormalWeb"/>
      </w:pPr>
      <w:r>
        <w:rPr>
          <w:noProof/>
        </w:rPr>
        <w:drawing>
          <wp:inline distT="0" distB="0" distL="0" distR="0" wp14:anchorId="1C76A36B" wp14:editId="214DEB00">
            <wp:extent cx="6020081" cy="3391846"/>
            <wp:effectExtent l="0" t="0" r="0" b="0"/>
            <wp:docPr id="2" name="Imagen 2" descr="C:\Users\Dell\Downloads\Reunión interna para evaluación de alternativas en el cumplimiento del convenio con corantioqu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ownloads\Reunión interna para evaluación de alternativas en el cumplimiento del convenio con corantioqui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420" cy="3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D94" w:rsidRDefault="002F0D94"/>
    <w:sectPr w:rsidR="002F0D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94"/>
    <w:rsid w:val="002F0D94"/>
    <w:rsid w:val="00E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0089D"/>
  <w15:chartTrackingRefBased/>
  <w15:docId w15:val="{31FC684E-F9CC-465A-8DC2-78377F53E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0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2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1</cp:revision>
  <dcterms:created xsi:type="dcterms:W3CDTF">2025-02-18T22:56:00Z</dcterms:created>
  <dcterms:modified xsi:type="dcterms:W3CDTF">2025-02-18T22:58:00Z</dcterms:modified>
</cp:coreProperties>
</file>